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  ____________________________</w:t>
        <w:tab/>
        <w:tab/>
        <w:tab/>
        <w:tab/>
        <w:tab/>
        <w:tab/>
        <w:t xml:space="preserve">           Date  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andlee" w:cs="Handlee" w:eastAsia="Handlee" w:hAnsi="Handlee"/>
          <w:b w:val="1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b w:val="1"/>
          <w:sz w:val="24"/>
          <w:szCs w:val="24"/>
          <w:rtl w:val="0"/>
        </w:rPr>
        <w:t xml:space="preserve">“Bums in the Attic”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Handlee" w:cs="Handlee" w:eastAsia="Handlee" w:hAnsi="Handle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What does it mean to “live too much on earth?”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According to this chapter, what qualities does Esperanza have because of her experiences?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Examples supporting this: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ab/>
        <w:t xml:space="preserve">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andlee" w:cs="Handlee" w:eastAsia="Handlee" w:hAnsi="Handlee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b w:val="1"/>
          <w:color w:val="222222"/>
          <w:sz w:val="24"/>
          <w:szCs w:val="24"/>
          <w:highlight w:val="white"/>
          <w:rtl w:val="0"/>
        </w:rPr>
        <w:t xml:space="preserve">“Beautiful and Cruel”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What is the “war” Esperanza is fighting?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Name some other examples of ways Esperanza may “act like a man:”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Who are some examples of women Esperanza might look up to today?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andlee" w:cs="Handlee" w:eastAsia="Handlee" w:hAnsi="Handlee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b w:val="1"/>
          <w:color w:val="222222"/>
          <w:sz w:val="24"/>
          <w:szCs w:val="24"/>
          <w:highlight w:val="white"/>
          <w:rtl w:val="0"/>
        </w:rPr>
        <w:t xml:space="preserve">“A Smart Cookie”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Does Esperanza have any strong women role models from Mango Street?  Support your answer.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Why is it especially meaningful that Esperanza has so much wisdom at such a young age?</w:t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andlee" w:cs="Handlee" w:eastAsia="Handlee" w:hAnsi="Handlee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ndle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dlee-regular.ttf"/></Relationships>
</file>